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00000"/>
        </w:rPr>
        <w:t>YILBAŞI VİTRİNİNİ TASARLA, YENİ YILDA PARLA!</w:t>
      </w:r>
    </w:p>
    <w:p>
      <w:pPr>
        <w:pStyle w:val="Heading2"/>
      </w:pPr>
      <w:r>
        <w:rPr>
          <w:color w:val="000000"/>
        </w:rPr>
        <w:t>JÜRİ DEĞERLENDİRME KRİTERLERİ</w:t>
      </w:r>
    </w:p>
    <w:p>
      <w:r>
        <w:rPr>
          <w:color w:val="000000"/>
          <w:sz w:val="22"/>
        </w:rPr>
        <w:t>Değerlendirme toplam puanı 100 üzerinden yapılır.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D9D9D9"/>
          </w:tcPr>
          <w:p>
            <w:r>
              <w:rPr>
                <w:b/>
                <w:color w:val="000000"/>
                <w:sz w:val="22"/>
              </w:rPr>
              <w:t>Kriter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  <w:color w:val="000000"/>
                <w:sz w:val="22"/>
              </w:rPr>
              <w:t>Açıklama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  <w:color w:val="000000"/>
                <w:sz w:val="22"/>
              </w:rPr>
              <w:t>Puan</w:t>
            </w:r>
          </w:p>
        </w:tc>
      </w:tr>
      <w:tr>
        <w:tc>
          <w:tcPr>
            <w:tcW w:type="dxa" w:w="2880"/>
          </w:tcPr>
          <w:p>
            <w:r>
              <w:rPr>
                <w:color w:val="000000"/>
                <w:sz w:val="22"/>
              </w:rPr>
              <w:t>Yaratıcılık ve Özgünlük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Fikir yeniliği, hikâye gücü, özgün yaklaşım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30</w:t>
            </w:r>
          </w:p>
        </w:tc>
      </w:tr>
      <w:tr>
        <w:tc>
          <w:tcPr>
            <w:tcW w:type="dxa" w:w="2880"/>
          </w:tcPr>
          <w:p>
            <w:r>
              <w:rPr>
                <w:color w:val="000000"/>
                <w:sz w:val="22"/>
              </w:rPr>
              <w:t>Tema Uygunluğu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“Yeni Yılda Parla” temasını doğru yansıtma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25</w:t>
            </w:r>
          </w:p>
        </w:tc>
      </w:tr>
      <w:tr>
        <w:tc>
          <w:tcPr>
            <w:tcW w:type="dxa" w:w="2880"/>
          </w:tcPr>
          <w:p>
            <w:r>
              <w:rPr>
                <w:color w:val="000000"/>
                <w:sz w:val="22"/>
              </w:rPr>
              <w:t>Sunum Kalitesi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Pafta düzeni, anlatım netliği, profesyonellik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20</w:t>
            </w:r>
          </w:p>
        </w:tc>
      </w:tr>
      <w:tr>
        <w:tc>
          <w:tcPr>
            <w:tcW w:type="dxa" w:w="2880"/>
          </w:tcPr>
          <w:p>
            <w:r>
              <w:rPr>
                <w:color w:val="000000"/>
                <w:sz w:val="22"/>
              </w:rPr>
              <w:t>Uygulanabilirlik ve Mekânsal Denge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Ölçek, malzeme, ışık ve oran uyumu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25</w:t>
            </w:r>
          </w:p>
        </w:tc>
      </w:tr>
      <w:tr>
        <w:tc>
          <w:tcPr>
            <w:tcW w:type="dxa" w:w="2880"/>
          </w:tcPr>
          <w:p>
            <w:r>
              <w:rPr>
                <w:color w:val="000000"/>
                <w:sz w:val="22"/>
              </w:rPr>
              <w:t>TOPLAM</w:t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color w:val="000000"/>
                <w:sz w:val="22"/>
              </w:rPr>
              <w:t>100</w:t>
            </w:r>
          </w:p>
        </w:tc>
      </w:tr>
    </w:tbl>
    <w:p>
      <w:r>
        <w:rPr>
          <w:color w:val="000000"/>
          <w:sz w:val="22"/>
        </w:rPr>
        <w:br/>
        <w:t>Jüri her kriteri bağımsız olarak 0–100 puan aralığında değerlendirir. Puan eşitliği durumunda 'Yaratıcılık ve Özgünlük' kriteri belirleyici olur.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